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1AFF" w:rsidRPr="00646580" w:rsidTr="00591AFF">
        <w:tc>
          <w:tcPr>
            <w:tcW w:w="1418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1AFF" w:rsidRPr="00646580" w:rsidTr="00591AFF">
        <w:tc>
          <w:tcPr>
            <w:tcW w:w="1418" w:type="dxa"/>
          </w:tcPr>
          <w:p w:rsidR="00591AFF" w:rsidRPr="00646580" w:rsidRDefault="002407BC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591AF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591AFF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591AFF" w:rsidRDefault="00591AFF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9CB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 летом.</w:t>
            </w:r>
          </w:p>
          <w:p w:rsidR="00591AFF" w:rsidRDefault="002407BC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591AFF" w:rsidRPr="000727A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https://nsportal.ru/detskii-sad/osnovy-bezopasnosti-zhiznedeyatelnosti/2016/07/05/prezentatsiya-na-temu-opasnost-letom</w:t>
              </w:r>
            </w:hyperlink>
          </w:p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07BC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B60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AFF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159CB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osnovy-bezopasnosti-zhiznedeyatelnosti/2016/07/05/prezentatsiya-na-temu-opasnost-let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2020-04-11T19:30:00Z</dcterms:modified>
</cp:coreProperties>
</file>