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BC" w:rsidRPr="00905E23" w:rsidRDefault="003571BC" w:rsidP="003571BC">
      <w:pPr>
        <w:pStyle w:val="1"/>
        <w:jc w:val="center"/>
        <w:rPr>
          <w:sz w:val="24"/>
          <w:szCs w:val="24"/>
        </w:rPr>
      </w:pPr>
      <w:r>
        <w:rPr>
          <w:rFonts w:ascii="Tahoma" w:hAnsi="Tahoma" w:cs="Tahoma"/>
          <w:noProof/>
          <w:color w:val="505050"/>
          <w:sz w:val="24"/>
          <w:szCs w:val="24"/>
        </w:rPr>
        <w:drawing>
          <wp:inline distT="0" distB="0" distL="0" distR="0">
            <wp:extent cx="1647825" cy="1476375"/>
            <wp:effectExtent l="19050" t="0" r="9525" b="0"/>
            <wp:docPr id="1" name="Рисунок 1" descr="Здоровое питание дл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E23">
        <w:rPr>
          <w:sz w:val="40"/>
          <w:szCs w:val="40"/>
        </w:rPr>
        <w:t>Здоровое питание для школ</w:t>
      </w:r>
      <w:bookmarkStart w:id="0" w:name="_GoBack"/>
      <w:bookmarkEnd w:id="0"/>
      <w:r w:rsidRPr="00905E23">
        <w:rPr>
          <w:sz w:val="40"/>
          <w:szCs w:val="40"/>
        </w:rPr>
        <w:t>ьника</w:t>
      </w:r>
    </w:p>
    <w:p w:rsidR="003571BC" w:rsidRPr="00905E23" w:rsidRDefault="003571BC" w:rsidP="003571BC">
      <w:pPr>
        <w:spacing w:after="280"/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       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 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одного-полутора литров жидкости, но не газированной воды, а фруктовых или овощных соков 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</w:t>
      </w:r>
      <w:proofErr w:type="gramStart"/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>все  знают</w:t>
      </w:r>
      <w:proofErr w:type="gramEnd"/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, какой завтрак наиболее ценен для школьника.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 В пищевом рационе школьника должна 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lastRenderedPageBreak/>
        <w:t>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    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Школьники 7-11 лет должны получать в сутки 70-</w:t>
      </w:r>
      <w:smartTag w:uri="urn:schemas-microsoft-com:office:smarttags" w:element="metricconverter">
        <w:smartTagPr>
          <w:attr w:name="ProductID" w:val="80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80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белка, или 2,5-</w:t>
      </w:r>
      <w:smartTag w:uri="urn:schemas-microsoft-com:office:smarttags" w:element="metricconverter">
        <w:smartTagPr>
          <w:attr w:name="ProductID" w:val="3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3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1 кг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веса, а учащиеся 12-17 лет - 90-</w:t>
      </w:r>
      <w:smartTag w:uri="urn:schemas-microsoft-com:office:smarttags" w:element="metricconverter">
        <w:smartTagPr>
          <w:attr w:name="ProductID" w:val="100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100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, или 2 </w:t>
      </w:r>
      <w:smartTag w:uri="urn:schemas-microsoft-com:office:smarttags" w:element="metricconverter">
        <w:smartTagPr>
          <w:attr w:name="ProductID" w:val="-2,5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-2,5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1 кг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веса. 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лет. и до 132—140 г в возрасте 14—17 лет.   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</w:t>
      </w:r>
      <w:proofErr w:type="gramStart"/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>же</w:t>
      </w:r>
      <w:proofErr w:type="gramEnd"/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</w:t>
      </w:r>
      <w:smartTag w:uri="urn:schemas-microsoft-com:office:smarttags" w:element="metricconverter">
        <w:smartTagPr>
          <w:attr w:name="ProductID" w:val="100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100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молока соответствует </w:t>
      </w:r>
      <w:smartTag w:uri="urn:schemas-microsoft-com:office:smarttags" w:element="metricconverter">
        <w:smartTagPr>
          <w:attr w:name="ProductID" w:val="12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12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сухого молока или </w:t>
      </w:r>
      <w:smartTag w:uri="urn:schemas-microsoft-com:office:smarttags" w:element="metricconverter">
        <w:smartTagPr>
          <w:attr w:name="ProductID" w:val="25 г"/>
        </w:smartTagPr>
        <w:r w:rsidRPr="00905E23">
          <w:rPr>
            <w:rFonts w:ascii="Times New Roman" w:hAnsi="Times New Roman" w:cs="Times New Roman"/>
            <w:b/>
            <w:color w:val="505050"/>
            <w:sz w:val="28"/>
            <w:szCs w:val="28"/>
          </w:rPr>
          <w:t>25 г</w:t>
        </w:r>
      </w:smartTag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сгущенного. Незаменимые аминокислоты: лизин, триптофан и гистидин — рассматриваются как факторы роста. Лучшими их поставщиками являются мясо, рыба и яйца. </w:t>
      </w:r>
    </w:p>
    <w:p w:rsidR="003571BC" w:rsidRPr="00905E23" w:rsidRDefault="003571BC" w:rsidP="003571BC">
      <w:pPr>
        <w:spacing w:before="46" w:after="46"/>
        <w:jc w:val="both"/>
        <w:outlineLvl w:val="2"/>
        <w:rPr>
          <w:rFonts w:ascii="Times New Roman" w:hAnsi="Times New Roman" w:cs="Times New Roman"/>
          <w:b/>
          <w:color w:val="505050"/>
        </w:rPr>
      </w:pPr>
    </w:p>
    <w:p w:rsidR="003571BC" w:rsidRPr="00905E23" w:rsidRDefault="003571BC" w:rsidP="003571BC">
      <w:pPr>
        <w:spacing w:before="46" w:after="46"/>
        <w:jc w:val="both"/>
        <w:outlineLvl w:val="2"/>
        <w:rPr>
          <w:rFonts w:ascii="Times New Roman" w:hAnsi="Times New Roman" w:cs="Times New Roman"/>
          <w:b/>
          <w:bCs/>
          <w:color w:val="60AC58"/>
          <w:sz w:val="36"/>
          <w:szCs w:val="36"/>
        </w:rPr>
      </w:pPr>
      <w:r w:rsidRPr="00905E23">
        <w:rPr>
          <w:rFonts w:ascii="Times New Roman" w:hAnsi="Times New Roman" w:cs="Times New Roman"/>
          <w:b/>
          <w:bCs/>
          <w:color w:val="60AC58"/>
          <w:sz w:val="36"/>
          <w:szCs w:val="36"/>
        </w:rPr>
        <w:t>Памятка для детей и родителей: в каких продуктах «живут» витамины</w:t>
      </w:r>
    </w:p>
    <w:p w:rsidR="003571BC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</w:rPr>
      </w:pP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А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B1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находится в рисе, овощах, птице. Он укрепляет нервную систему, память, улучшает пищеварение. 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B2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находится в молоке, яйцах, брокколи. Он укрепляет волосы, ногти, положительно влияет на состояние нервов.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Витамин РР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В6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Пантотеновая кислота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B12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Фолиевая кислота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савойской капусте, шпинате, зеленом горошке, необходима для роста и нормального кроветворения.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Биотин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С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Витамин D 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— в печени рыб, икре, яйцах, укрепляет кости и зубы. </w:t>
      </w:r>
    </w:p>
    <w:p w:rsidR="00024884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Е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3571BC" w:rsidRPr="00905E23" w:rsidRDefault="003571BC" w:rsidP="003571BC">
      <w:pPr>
        <w:jc w:val="both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905E23">
        <w:rPr>
          <w:rFonts w:ascii="Times New Roman" w:hAnsi="Times New Roman" w:cs="Times New Roman"/>
          <w:b/>
          <w:color w:val="FF0000"/>
          <w:sz w:val="28"/>
          <w:szCs w:val="28"/>
        </w:rPr>
        <w:t>Витамин К</w:t>
      </w:r>
      <w:r w:rsidRPr="00905E23">
        <w:rPr>
          <w:rFonts w:ascii="Times New Roman" w:hAnsi="Times New Roman" w:cs="Times New Roman"/>
          <w:b/>
          <w:color w:val="505050"/>
          <w:sz w:val="28"/>
          <w:szCs w:val="28"/>
        </w:rPr>
        <w:t xml:space="preserve"> — в шпинате, салате, кабачках и белокочанной капусте, регулирует свертываемость крови. </w:t>
      </w:r>
    </w:p>
    <w:p w:rsidR="003571BC" w:rsidRPr="00905E23" w:rsidRDefault="003571BC" w:rsidP="003571BC">
      <w:pPr>
        <w:spacing w:line="418" w:lineRule="atLeast"/>
        <w:jc w:val="right"/>
        <w:rPr>
          <w:rFonts w:ascii="Tahoma" w:hAnsi="Tahoma" w:cs="Tahoma"/>
          <w:b/>
          <w:color w:val="999999"/>
          <w:sz w:val="28"/>
          <w:szCs w:val="28"/>
        </w:rPr>
      </w:pPr>
    </w:p>
    <w:p w:rsidR="003571BC" w:rsidRPr="00905E23" w:rsidRDefault="003571BC" w:rsidP="003571BC">
      <w:pPr>
        <w:spacing w:line="418" w:lineRule="atLeast"/>
        <w:jc w:val="both"/>
        <w:rPr>
          <w:rFonts w:ascii="Tahoma" w:hAnsi="Tahoma" w:cs="Tahoma"/>
          <w:b/>
          <w:color w:val="505050"/>
          <w:sz w:val="28"/>
          <w:szCs w:val="28"/>
        </w:rPr>
      </w:pPr>
    </w:p>
    <w:p w:rsidR="00E36C7D" w:rsidRPr="00905E23" w:rsidRDefault="00E36C7D">
      <w:pPr>
        <w:rPr>
          <w:sz w:val="28"/>
          <w:szCs w:val="28"/>
        </w:rPr>
      </w:pPr>
    </w:p>
    <w:sectPr w:rsidR="00E36C7D" w:rsidRPr="00905E23" w:rsidSect="00E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1BC"/>
    <w:rsid w:val="00024884"/>
    <w:rsid w:val="003571BC"/>
    <w:rsid w:val="00905E23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ED743D-0F55-4AAB-B2A7-003D1F5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paragraph" w:styleId="1">
    <w:name w:val="heading 1"/>
    <w:basedOn w:val="a"/>
    <w:link w:val="10"/>
    <w:qFormat/>
    <w:rsid w:val="00357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AC58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BC"/>
    <w:rPr>
      <w:rFonts w:ascii="Times New Roman" w:eastAsia="Times New Roman" w:hAnsi="Times New Roman" w:cs="Times New Roman"/>
      <w:b/>
      <w:bCs/>
      <w:color w:val="60AC58"/>
      <w:kern w:val="36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35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terinstvo.ru/skins/default/public/images/articles/s1644_1182939146_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4599</Characters>
  <Application>Microsoft Office Word</Application>
  <DocSecurity>0</DocSecurity>
  <Lines>38</Lines>
  <Paragraphs>10</Paragraphs>
  <ScaleCrop>false</ScaleCrop>
  <Company>sch87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2011-12-06T09:58:00Z</dcterms:created>
  <dcterms:modified xsi:type="dcterms:W3CDTF">2019-04-04T10:00:00Z</dcterms:modified>
</cp:coreProperties>
</file>