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053006" w:rsidRPr="00646580" w:rsidTr="00053006">
        <w:tc>
          <w:tcPr>
            <w:tcW w:w="1418" w:type="dxa"/>
          </w:tcPr>
          <w:p w:rsidR="00053006" w:rsidRPr="00646580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53006" w:rsidRPr="00646580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53006" w:rsidRPr="00646580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053006" w:rsidRPr="00646580" w:rsidTr="00053006">
        <w:tc>
          <w:tcPr>
            <w:tcW w:w="1418" w:type="dxa"/>
          </w:tcPr>
          <w:p w:rsidR="00053006" w:rsidRPr="00646580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1417" w:type="dxa"/>
          </w:tcPr>
          <w:p w:rsidR="00053006" w:rsidRPr="00646580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053006" w:rsidRDefault="00053006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05D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Учимся понимать настроение другого по внешним признакам.</w:t>
            </w:r>
          </w:p>
          <w:p w:rsidR="00053006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114ED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https://nsportal.ru/ap/library/drugoe/2012/01/30/prezentatsiya-emotsii-cheloveka</w:t>
              </w:r>
            </w:hyperlink>
          </w:p>
          <w:p w:rsidR="00053006" w:rsidRPr="00646580" w:rsidRDefault="0005300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006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2F2B50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232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25B4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ap/library/drugoe/2012/01/30/prezentatsiya-emotsii-chelove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2020-04-07T09:54:00Z</dcterms:modified>
</cp:coreProperties>
</file>